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horzAnchor="margin" w:tblpXSpec="right" w:tblpY="-71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0"/>
      </w:tblGrid>
      <w:tr w:rsidR="00197444" w:rsidTr="007F216B">
        <w:tc>
          <w:tcPr>
            <w:tcW w:w="2660" w:type="dxa"/>
          </w:tcPr>
          <w:p w:rsidR="00197444" w:rsidRPr="00197444" w:rsidRDefault="00197444" w:rsidP="007F216B">
            <w:pPr>
              <w:kinsoku w:val="0"/>
              <w:overflowPunct w:val="0"/>
              <w:autoSpaceDE/>
              <w:autoSpaceDN/>
              <w:adjustRightInd/>
              <w:spacing w:after="120"/>
              <w:ind w:right="142" w:hanging="567"/>
              <w:jc w:val="right"/>
              <w:textAlignment w:val="baseline"/>
              <w:rPr>
                <w:rFonts w:ascii="Arial" w:hAnsi="Arial" w:cs="Arial"/>
                <w:b/>
                <w:sz w:val="24"/>
                <w:szCs w:val="24"/>
              </w:rPr>
            </w:pPr>
            <w:r>
              <w:rPr>
                <w:rFonts w:ascii="Arial" w:hAnsi="Arial" w:cs="Arial"/>
                <w:b/>
                <w:sz w:val="24"/>
                <w:szCs w:val="24"/>
              </w:rPr>
              <w:t xml:space="preserve"> </w:t>
            </w:r>
            <w:r w:rsidR="007F216B" w:rsidRPr="00197444">
              <w:rPr>
                <w:rFonts w:ascii="Arial" w:hAnsi="Arial" w:cs="Arial"/>
                <w:b/>
                <w:sz w:val="24"/>
                <w:szCs w:val="24"/>
              </w:rPr>
              <w:t>SCHEDA ALLEGATA</w:t>
            </w:r>
          </w:p>
        </w:tc>
      </w:tr>
    </w:tbl>
    <w:p w:rsidR="00053848" w:rsidRPr="00197444" w:rsidRDefault="00053848" w:rsidP="007F216B">
      <w:pPr>
        <w:pBdr>
          <w:top w:val="single" w:sz="5" w:space="0" w:color="000000"/>
          <w:left w:val="single" w:sz="5" w:space="0" w:color="000000"/>
          <w:bottom w:val="single" w:sz="5" w:space="13" w:color="000000"/>
          <w:right w:val="single" w:sz="5" w:space="0" w:color="000000"/>
        </w:pBdr>
        <w:shd w:val="solid" w:color="17365D" w:fill="auto"/>
        <w:kinsoku w:val="0"/>
        <w:overflowPunct w:val="0"/>
        <w:autoSpaceDE/>
        <w:autoSpaceDN/>
        <w:adjustRightInd/>
        <w:spacing w:after="120"/>
        <w:jc w:val="center"/>
        <w:textAlignment w:val="baseline"/>
        <w:rPr>
          <w:rFonts w:ascii="Arial" w:hAnsi="Arial" w:cs="Arial"/>
          <w:b/>
          <w:bCs/>
          <w:color w:val="F1F1F1"/>
          <w:sz w:val="28"/>
          <w:szCs w:val="28"/>
        </w:rPr>
      </w:pPr>
      <w:r w:rsidRPr="00197444">
        <w:rPr>
          <w:rFonts w:ascii="Arial" w:hAnsi="Arial" w:cs="Arial"/>
          <w:b/>
          <w:bCs/>
          <w:color w:val="F1F1F1"/>
          <w:sz w:val="28"/>
          <w:szCs w:val="28"/>
        </w:rPr>
        <w:t>LOTTA ALL’EVASIONE, ALL’ELUSIONE E ALLE FRODI FISCALI</w:t>
      </w:r>
    </w:p>
    <w:p w:rsidR="00756B71" w:rsidRPr="00197444" w:rsidRDefault="00756B71" w:rsidP="007F216B">
      <w:pPr>
        <w:kinsoku w:val="0"/>
        <w:overflowPunct w:val="0"/>
        <w:autoSpaceDE/>
        <w:autoSpaceDN/>
        <w:adjustRightInd/>
        <w:spacing w:after="120"/>
        <w:jc w:val="center"/>
        <w:textAlignment w:val="baseline"/>
        <w:rPr>
          <w:rFonts w:ascii="Arial" w:hAnsi="Arial" w:cs="Arial"/>
          <w:b/>
          <w:bCs/>
          <w:sz w:val="24"/>
          <w:szCs w:val="24"/>
          <w:u w:val="single"/>
        </w:rPr>
      </w:pPr>
    </w:p>
    <w:p w:rsidR="00053848" w:rsidRPr="00197444" w:rsidRDefault="00053848" w:rsidP="007F216B">
      <w:pPr>
        <w:kinsoku w:val="0"/>
        <w:overflowPunct w:val="0"/>
        <w:autoSpaceDE/>
        <w:autoSpaceDN/>
        <w:adjustRightInd/>
        <w:spacing w:after="120"/>
        <w:jc w:val="center"/>
        <w:textAlignment w:val="baseline"/>
        <w:rPr>
          <w:rFonts w:ascii="Arial" w:hAnsi="Arial" w:cs="Arial"/>
          <w:b/>
          <w:bCs/>
          <w:sz w:val="24"/>
          <w:szCs w:val="24"/>
          <w:u w:val="single"/>
        </w:rPr>
      </w:pPr>
      <w:r w:rsidRPr="00197444">
        <w:rPr>
          <w:rFonts w:ascii="Arial" w:hAnsi="Arial" w:cs="Arial"/>
          <w:b/>
          <w:bCs/>
          <w:sz w:val="24"/>
          <w:szCs w:val="24"/>
          <w:u w:val="single"/>
        </w:rPr>
        <w:t>PUNTO 1</w:t>
      </w:r>
    </w:p>
    <w:p w:rsidR="00053848" w:rsidRPr="007F216B" w:rsidRDefault="005F253D" w:rsidP="007F216B">
      <w:pPr>
        <w:kinsoku w:val="0"/>
        <w:overflowPunct w:val="0"/>
        <w:autoSpaceDE/>
        <w:autoSpaceDN/>
        <w:adjustRightInd/>
        <w:spacing w:after="120"/>
        <w:ind w:right="142"/>
        <w:jc w:val="both"/>
        <w:textAlignment w:val="baseline"/>
        <w:rPr>
          <w:rFonts w:ascii="Arial" w:hAnsi="Arial" w:cs="Arial"/>
          <w:sz w:val="24"/>
          <w:szCs w:val="24"/>
        </w:rPr>
      </w:pPr>
      <w:r w:rsidRPr="007F216B">
        <w:rPr>
          <w:rFonts w:ascii="Arial" w:hAnsi="Arial" w:cs="Arial"/>
          <w:sz w:val="24"/>
          <w:szCs w:val="24"/>
        </w:rPr>
        <w:t xml:space="preserve">La </w:t>
      </w:r>
      <w:r w:rsidRPr="007F216B">
        <w:rPr>
          <w:rFonts w:ascii="Arial" w:hAnsi="Arial" w:cs="Arial"/>
          <w:b/>
          <w:sz w:val="24"/>
          <w:szCs w:val="24"/>
        </w:rPr>
        <w:t>Compagnia di Teramo</w:t>
      </w:r>
      <w:r w:rsidRPr="007F216B">
        <w:rPr>
          <w:rFonts w:ascii="Arial" w:hAnsi="Arial" w:cs="Arial"/>
          <w:sz w:val="24"/>
          <w:szCs w:val="24"/>
        </w:rPr>
        <w:t>, nello svolgimento di una complessa attività d’indagine nel</w:t>
      </w:r>
      <w:r w:rsidR="007F216B" w:rsidRPr="007F216B">
        <w:rPr>
          <w:rFonts w:ascii="Arial" w:hAnsi="Arial" w:cs="Arial"/>
          <w:sz w:val="24"/>
          <w:szCs w:val="24"/>
        </w:rPr>
        <w:t xml:space="preserve"> </w:t>
      </w:r>
      <w:r w:rsidRPr="007F216B">
        <w:rPr>
          <w:rFonts w:ascii="Arial" w:hAnsi="Arial" w:cs="Arial"/>
          <w:sz w:val="24"/>
          <w:szCs w:val="24"/>
        </w:rPr>
        <w:t>settore della fiscalità, ha individuato e smantellato un articolato sistema di frode fiscale, consistente in fittizie cessioni di unità immobiliari, solo formalmente trasferite ad una società di diritto britannico, ma di fatto rimaste sempre nella disponibilità dell’indagato.</w:t>
      </w:r>
      <w:r w:rsidR="00756B71" w:rsidRPr="007F216B">
        <w:rPr>
          <w:rFonts w:ascii="Arial" w:hAnsi="Arial" w:cs="Arial"/>
          <w:sz w:val="24"/>
          <w:szCs w:val="24"/>
        </w:rPr>
        <w:t xml:space="preserve"> </w:t>
      </w:r>
      <w:r w:rsidRPr="007F216B">
        <w:rPr>
          <w:rFonts w:ascii="Arial" w:hAnsi="Arial" w:cs="Arial"/>
          <w:sz w:val="24"/>
          <w:szCs w:val="24"/>
        </w:rPr>
        <w:t xml:space="preserve">Il servizio si concludeva con la denuncia all’autorità giudiziaria di n. </w:t>
      </w:r>
      <w:r w:rsidRPr="00EA5E11">
        <w:rPr>
          <w:rFonts w:ascii="Arial" w:hAnsi="Arial" w:cs="Arial"/>
          <w:b/>
          <w:sz w:val="24"/>
          <w:szCs w:val="24"/>
        </w:rPr>
        <w:t>2</w:t>
      </w:r>
      <w:r w:rsidRPr="007F216B">
        <w:rPr>
          <w:rFonts w:ascii="Arial" w:hAnsi="Arial" w:cs="Arial"/>
          <w:sz w:val="24"/>
          <w:szCs w:val="24"/>
        </w:rPr>
        <w:t xml:space="preserve"> responsabili e con il sequestro preventivo, finalizzato alla confisca per equivalente, di disponibilità finanziarie e di n. </w:t>
      </w:r>
      <w:r w:rsidRPr="00EA5E11">
        <w:rPr>
          <w:rFonts w:ascii="Arial" w:hAnsi="Arial" w:cs="Arial"/>
          <w:b/>
          <w:sz w:val="24"/>
          <w:szCs w:val="24"/>
        </w:rPr>
        <w:t>8</w:t>
      </w:r>
      <w:r w:rsidRPr="007F216B">
        <w:rPr>
          <w:rFonts w:ascii="Arial" w:hAnsi="Arial" w:cs="Arial"/>
          <w:sz w:val="24"/>
          <w:szCs w:val="24"/>
        </w:rPr>
        <w:t xml:space="preserve"> immobili per un valore complessivo di circa </w:t>
      </w:r>
      <w:r w:rsidRPr="00EA5E11">
        <w:rPr>
          <w:rFonts w:ascii="Arial" w:hAnsi="Arial" w:cs="Arial"/>
          <w:b/>
          <w:sz w:val="24"/>
          <w:szCs w:val="24"/>
        </w:rPr>
        <w:t>un milione di euro</w:t>
      </w:r>
      <w:r w:rsidRPr="007F216B">
        <w:rPr>
          <w:rFonts w:ascii="Arial" w:hAnsi="Arial" w:cs="Arial"/>
          <w:sz w:val="24"/>
          <w:szCs w:val="24"/>
        </w:rPr>
        <w:t>.</w:t>
      </w:r>
    </w:p>
    <w:p w:rsidR="00053848" w:rsidRPr="00197444" w:rsidRDefault="00053848" w:rsidP="007F216B">
      <w:pPr>
        <w:kinsoku w:val="0"/>
        <w:overflowPunct w:val="0"/>
        <w:autoSpaceDE/>
        <w:autoSpaceDN/>
        <w:adjustRightInd/>
        <w:spacing w:after="120"/>
        <w:jc w:val="center"/>
        <w:textAlignment w:val="baseline"/>
        <w:rPr>
          <w:rFonts w:ascii="Arial" w:hAnsi="Arial" w:cs="Arial"/>
          <w:b/>
          <w:bCs/>
          <w:sz w:val="24"/>
          <w:szCs w:val="24"/>
          <w:u w:val="single"/>
        </w:rPr>
      </w:pPr>
      <w:r w:rsidRPr="00197444">
        <w:rPr>
          <w:rFonts w:ascii="Arial" w:hAnsi="Arial" w:cs="Arial"/>
          <w:b/>
          <w:bCs/>
          <w:sz w:val="24"/>
          <w:szCs w:val="24"/>
          <w:u w:val="single"/>
        </w:rPr>
        <w:t>PUNTO 2</w:t>
      </w:r>
    </w:p>
    <w:p w:rsidR="007F216B" w:rsidRDefault="005F253D" w:rsidP="007F216B">
      <w:pPr>
        <w:kinsoku w:val="0"/>
        <w:overflowPunct w:val="0"/>
        <w:autoSpaceDE/>
        <w:autoSpaceDN/>
        <w:adjustRightInd/>
        <w:spacing w:after="120"/>
        <w:ind w:right="142"/>
        <w:jc w:val="both"/>
        <w:textAlignment w:val="baseline"/>
        <w:rPr>
          <w:rFonts w:ascii="Arial" w:hAnsi="Arial" w:cs="Arial"/>
          <w:sz w:val="24"/>
          <w:szCs w:val="24"/>
        </w:rPr>
      </w:pPr>
      <w:r w:rsidRPr="00197444">
        <w:rPr>
          <w:rFonts w:ascii="Arial" w:hAnsi="Arial" w:cs="Arial"/>
          <w:sz w:val="24"/>
          <w:szCs w:val="24"/>
        </w:rPr>
        <w:t>L’operazione “</w:t>
      </w:r>
      <w:r w:rsidRPr="00197444">
        <w:rPr>
          <w:rFonts w:ascii="Arial" w:hAnsi="Arial" w:cs="Arial"/>
          <w:i/>
          <w:sz w:val="24"/>
          <w:szCs w:val="24"/>
        </w:rPr>
        <w:t>Waste Medow</w:t>
      </w:r>
      <w:r w:rsidRPr="00197444">
        <w:rPr>
          <w:rFonts w:ascii="Arial" w:hAnsi="Arial" w:cs="Arial"/>
          <w:sz w:val="24"/>
          <w:szCs w:val="24"/>
        </w:rPr>
        <w:t xml:space="preserve">”, posta in essere dalla </w:t>
      </w:r>
      <w:r w:rsidRPr="00197444">
        <w:rPr>
          <w:rFonts w:ascii="Arial" w:hAnsi="Arial" w:cs="Arial"/>
          <w:b/>
          <w:sz w:val="24"/>
          <w:szCs w:val="24"/>
        </w:rPr>
        <w:t>Compagnia di Chieti</w:t>
      </w:r>
      <w:r w:rsidRPr="00197444">
        <w:rPr>
          <w:rFonts w:ascii="Arial" w:hAnsi="Arial" w:cs="Arial"/>
          <w:sz w:val="24"/>
          <w:szCs w:val="24"/>
        </w:rPr>
        <w:t>, ha permesso di individuare, trasversalmente, sia illeciti di natura ambientale e fiscale, che la tutela della spesa pubblica e la normativa sul lavoro.</w:t>
      </w:r>
      <w:r w:rsidR="00756B71" w:rsidRPr="00197444">
        <w:rPr>
          <w:rFonts w:ascii="Arial" w:hAnsi="Arial" w:cs="Arial"/>
          <w:sz w:val="24"/>
          <w:szCs w:val="24"/>
        </w:rPr>
        <w:t xml:space="preserve"> L</w:t>
      </w:r>
      <w:r w:rsidRPr="00197444">
        <w:rPr>
          <w:rFonts w:ascii="Arial" w:hAnsi="Arial" w:cs="Arial"/>
          <w:sz w:val="24"/>
          <w:szCs w:val="24"/>
        </w:rPr>
        <w:t xml:space="preserve">’attività ispettiva permetteva di individuare un quadro fenomenologico posto in essere da un soggetto che, con la costituzione di varie società, esercitando la fittizia rottamazione di autoveicoli, si rendeva responsabile per reati ambientali, ricettazione, violazioni agli obblighi in materia di bolli auto non corrisposti alla </w:t>
      </w:r>
      <w:r w:rsidR="00756B71" w:rsidRPr="00197444">
        <w:rPr>
          <w:rFonts w:ascii="Arial" w:hAnsi="Arial" w:cs="Arial"/>
          <w:sz w:val="24"/>
          <w:szCs w:val="24"/>
        </w:rPr>
        <w:t>R</w:t>
      </w:r>
      <w:r w:rsidRPr="00197444">
        <w:rPr>
          <w:rFonts w:ascii="Arial" w:hAnsi="Arial" w:cs="Arial"/>
          <w:sz w:val="24"/>
          <w:szCs w:val="24"/>
        </w:rPr>
        <w:t xml:space="preserve">egione </w:t>
      </w:r>
      <w:r w:rsidR="00756B71" w:rsidRPr="00197444">
        <w:rPr>
          <w:rFonts w:ascii="Arial" w:hAnsi="Arial" w:cs="Arial"/>
          <w:sz w:val="24"/>
          <w:szCs w:val="24"/>
        </w:rPr>
        <w:t>A</w:t>
      </w:r>
      <w:r w:rsidRPr="00197444">
        <w:rPr>
          <w:rFonts w:ascii="Arial" w:hAnsi="Arial" w:cs="Arial"/>
          <w:sz w:val="24"/>
          <w:szCs w:val="24"/>
        </w:rPr>
        <w:t>bruzzo, nonché per reati di carattere fiscale.</w:t>
      </w:r>
      <w:r w:rsidR="00756B71" w:rsidRPr="00197444">
        <w:rPr>
          <w:rFonts w:ascii="Arial" w:hAnsi="Arial" w:cs="Arial"/>
          <w:sz w:val="24"/>
          <w:szCs w:val="24"/>
        </w:rPr>
        <w:t xml:space="preserve"> L</w:t>
      </w:r>
      <w:r w:rsidRPr="00197444">
        <w:rPr>
          <w:rFonts w:ascii="Arial" w:hAnsi="Arial" w:cs="Arial"/>
          <w:sz w:val="24"/>
          <w:szCs w:val="24"/>
        </w:rPr>
        <w:t xml:space="preserve">’operazione di servizio si concludeva con la denuncia all’autorità giudiziaria di n. </w:t>
      </w:r>
      <w:r w:rsidRPr="00EA5E11">
        <w:rPr>
          <w:rFonts w:ascii="Arial" w:hAnsi="Arial" w:cs="Arial"/>
          <w:b/>
          <w:sz w:val="24"/>
          <w:szCs w:val="24"/>
        </w:rPr>
        <w:t>2</w:t>
      </w:r>
      <w:r w:rsidRPr="00197444">
        <w:rPr>
          <w:rFonts w:ascii="Arial" w:hAnsi="Arial" w:cs="Arial"/>
          <w:sz w:val="24"/>
          <w:szCs w:val="24"/>
        </w:rPr>
        <w:t xml:space="preserve"> persone, per reati contro l’ambiente, con la rilevazione di elementi positivi di reddito non dichiarati per circa </w:t>
      </w:r>
      <w:r w:rsidRPr="00EA5E11">
        <w:rPr>
          <w:rFonts w:ascii="Arial" w:hAnsi="Arial" w:cs="Arial"/>
          <w:b/>
          <w:sz w:val="24"/>
          <w:szCs w:val="24"/>
        </w:rPr>
        <w:t>un milione e duecentomila euro</w:t>
      </w:r>
      <w:r w:rsidRPr="00197444">
        <w:rPr>
          <w:rFonts w:ascii="Arial" w:hAnsi="Arial" w:cs="Arial"/>
          <w:sz w:val="24"/>
          <w:szCs w:val="24"/>
        </w:rPr>
        <w:t xml:space="preserve">, con l’irrogazione di sanzioni amministrative, violazioni alla normativa ambientale, e con il recupero di bolli auto non corrisposti e relative sanzioni, per circa </w:t>
      </w:r>
      <w:r w:rsidRPr="00EA5E11">
        <w:rPr>
          <w:rFonts w:ascii="Arial" w:hAnsi="Arial" w:cs="Arial"/>
          <w:b/>
          <w:sz w:val="24"/>
          <w:szCs w:val="24"/>
        </w:rPr>
        <w:t>novecentomila euro</w:t>
      </w:r>
      <w:r w:rsidR="00756B71" w:rsidRPr="00197444">
        <w:rPr>
          <w:rFonts w:ascii="Arial" w:hAnsi="Arial" w:cs="Arial"/>
          <w:sz w:val="24"/>
          <w:szCs w:val="24"/>
        </w:rPr>
        <w:t>.</w:t>
      </w:r>
    </w:p>
    <w:p w:rsidR="00756B71" w:rsidRPr="00197444" w:rsidRDefault="007F216B" w:rsidP="007F216B">
      <w:pPr>
        <w:kinsoku w:val="0"/>
        <w:overflowPunct w:val="0"/>
        <w:autoSpaceDE/>
        <w:autoSpaceDN/>
        <w:adjustRightInd/>
        <w:spacing w:after="120"/>
        <w:ind w:right="142"/>
        <w:jc w:val="both"/>
        <w:textAlignment w:val="baseline"/>
        <w:rPr>
          <w:rFonts w:ascii="Arial" w:hAnsi="Arial" w:cs="Arial"/>
          <w:sz w:val="24"/>
          <w:szCs w:val="24"/>
        </w:rPr>
      </w:pPr>
      <w:r>
        <w:rPr>
          <w:rFonts w:ascii="Arial" w:hAnsi="Arial" w:cs="Arial"/>
          <w:sz w:val="24"/>
          <w:szCs w:val="24"/>
        </w:rPr>
        <w:br w:type="column"/>
      </w:r>
    </w:p>
    <w:p w:rsidR="00053848" w:rsidRPr="00197444" w:rsidRDefault="00053848" w:rsidP="007F216B">
      <w:pPr>
        <w:pBdr>
          <w:top w:val="single" w:sz="5" w:space="0" w:color="000000"/>
          <w:left w:val="single" w:sz="5" w:space="0" w:color="000000"/>
          <w:bottom w:val="single" w:sz="5" w:space="0" w:color="000000"/>
          <w:right w:val="single" w:sz="5" w:space="0" w:color="000000"/>
        </w:pBdr>
        <w:shd w:val="solid" w:color="17365D" w:fill="auto"/>
        <w:kinsoku w:val="0"/>
        <w:overflowPunct w:val="0"/>
        <w:autoSpaceDE/>
        <w:autoSpaceDN/>
        <w:adjustRightInd/>
        <w:spacing w:after="120"/>
        <w:jc w:val="center"/>
        <w:textAlignment w:val="baseline"/>
        <w:rPr>
          <w:rFonts w:ascii="Arial" w:hAnsi="Arial" w:cs="Arial"/>
          <w:b/>
          <w:bCs/>
          <w:color w:val="F1F1F1"/>
          <w:sz w:val="28"/>
          <w:szCs w:val="28"/>
        </w:rPr>
      </w:pPr>
      <w:r w:rsidRPr="00197444">
        <w:rPr>
          <w:rFonts w:ascii="Arial" w:hAnsi="Arial" w:cs="Arial"/>
          <w:b/>
          <w:bCs/>
          <w:color w:val="F1F1F1"/>
          <w:sz w:val="28"/>
          <w:szCs w:val="28"/>
        </w:rPr>
        <w:t>CONTRASTO AGLI ILLECITI NEL SETTORE</w:t>
      </w:r>
      <w:r w:rsidRPr="00197444">
        <w:rPr>
          <w:rFonts w:ascii="Arial" w:hAnsi="Arial" w:cs="Arial"/>
          <w:b/>
          <w:bCs/>
          <w:color w:val="F1F1F1"/>
          <w:sz w:val="28"/>
          <w:szCs w:val="28"/>
        </w:rPr>
        <w:br/>
        <w:t>DELLA TUTELA DELLA SPESA PUBBLICA</w:t>
      </w:r>
    </w:p>
    <w:p w:rsidR="007F216B" w:rsidRDefault="007F216B" w:rsidP="007F216B">
      <w:pPr>
        <w:kinsoku w:val="0"/>
        <w:overflowPunct w:val="0"/>
        <w:autoSpaceDE/>
        <w:autoSpaceDN/>
        <w:adjustRightInd/>
        <w:spacing w:after="120"/>
        <w:ind w:left="4392"/>
        <w:textAlignment w:val="baseline"/>
        <w:rPr>
          <w:rFonts w:ascii="Arial" w:hAnsi="Arial" w:cs="Arial"/>
          <w:b/>
          <w:bCs/>
          <w:spacing w:val="-1"/>
          <w:sz w:val="24"/>
          <w:szCs w:val="24"/>
          <w:u w:val="single"/>
        </w:rPr>
      </w:pPr>
    </w:p>
    <w:p w:rsidR="00053848" w:rsidRPr="00197444" w:rsidRDefault="00053848" w:rsidP="007F216B">
      <w:pPr>
        <w:kinsoku w:val="0"/>
        <w:overflowPunct w:val="0"/>
        <w:autoSpaceDE/>
        <w:autoSpaceDN/>
        <w:adjustRightInd/>
        <w:spacing w:after="120"/>
        <w:ind w:left="4392"/>
        <w:textAlignment w:val="baseline"/>
        <w:rPr>
          <w:rFonts w:ascii="Arial" w:hAnsi="Arial" w:cs="Arial"/>
          <w:b/>
          <w:bCs/>
          <w:spacing w:val="-1"/>
          <w:sz w:val="24"/>
          <w:szCs w:val="24"/>
          <w:u w:val="single"/>
        </w:rPr>
      </w:pPr>
      <w:r w:rsidRPr="00197444">
        <w:rPr>
          <w:rFonts w:ascii="Arial" w:hAnsi="Arial" w:cs="Arial"/>
          <w:b/>
          <w:bCs/>
          <w:spacing w:val="-1"/>
          <w:sz w:val="24"/>
          <w:szCs w:val="24"/>
          <w:u w:val="single"/>
        </w:rPr>
        <w:t xml:space="preserve">PUNTO </w:t>
      </w:r>
      <w:r w:rsidR="00756B71" w:rsidRPr="00197444">
        <w:rPr>
          <w:rFonts w:ascii="Arial" w:hAnsi="Arial" w:cs="Arial"/>
          <w:b/>
          <w:bCs/>
          <w:spacing w:val="-1"/>
          <w:sz w:val="24"/>
          <w:szCs w:val="24"/>
          <w:u w:val="single"/>
        </w:rPr>
        <w:t>3</w:t>
      </w:r>
    </w:p>
    <w:p w:rsidR="00756B71" w:rsidRPr="00197444" w:rsidRDefault="00756B71" w:rsidP="007F216B">
      <w:pPr>
        <w:kinsoku w:val="0"/>
        <w:overflowPunct w:val="0"/>
        <w:autoSpaceDE/>
        <w:autoSpaceDN/>
        <w:adjustRightInd/>
        <w:spacing w:after="120"/>
        <w:ind w:left="72" w:right="144"/>
        <w:jc w:val="both"/>
        <w:textAlignment w:val="baseline"/>
        <w:rPr>
          <w:rFonts w:ascii="Arial" w:hAnsi="Arial" w:cs="Arial"/>
          <w:sz w:val="24"/>
          <w:szCs w:val="24"/>
        </w:rPr>
      </w:pPr>
      <w:r w:rsidRPr="00197444">
        <w:rPr>
          <w:rFonts w:ascii="Arial" w:hAnsi="Arial" w:cs="Arial"/>
          <w:sz w:val="24"/>
          <w:szCs w:val="24"/>
        </w:rPr>
        <w:t xml:space="preserve">Il </w:t>
      </w:r>
      <w:r w:rsidRPr="00197444">
        <w:rPr>
          <w:rFonts w:ascii="Arial" w:hAnsi="Arial" w:cs="Arial"/>
          <w:b/>
          <w:sz w:val="24"/>
          <w:szCs w:val="24"/>
        </w:rPr>
        <w:t>Nucleo polizia economico-finanziaria di L’Aquila</w:t>
      </w:r>
      <w:r w:rsidRPr="00197444">
        <w:rPr>
          <w:rFonts w:ascii="Arial" w:hAnsi="Arial" w:cs="Arial"/>
          <w:sz w:val="24"/>
          <w:szCs w:val="24"/>
        </w:rPr>
        <w:t xml:space="preserve"> ha svolto una importante iniziativa operativa, volta al contrasto di gravi forme di frode e malversazione nella percezione ed utilizzo delle ingenti risorse destinate alla ricostruzione nei territori aquilani colpiti dal sisma del 2009. Le attività investigative da essa scaturite si concludevano con l’accertamento di circa </w:t>
      </w:r>
      <w:r w:rsidRPr="00EA5E11">
        <w:rPr>
          <w:rFonts w:ascii="Arial" w:hAnsi="Arial" w:cs="Arial"/>
          <w:b/>
          <w:sz w:val="24"/>
          <w:szCs w:val="24"/>
        </w:rPr>
        <w:t>10 milioni di euro</w:t>
      </w:r>
      <w:r w:rsidRPr="00197444">
        <w:rPr>
          <w:rFonts w:ascii="Arial" w:hAnsi="Arial" w:cs="Arial"/>
          <w:sz w:val="24"/>
          <w:szCs w:val="24"/>
        </w:rPr>
        <w:t xml:space="preserve"> di provvidenze pubbliche indebitamente percepite, il deferimento alla locale autorità giudiziaria di n. </w:t>
      </w:r>
      <w:r w:rsidRPr="00EA5E11">
        <w:rPr>
          <w:rFonts w:ascii="Arial" w:hAnsi="Arial" w:cs="Arial"/>
          <w:b/>
          <w:sz w:val="24"/>
          <w:szCs w:val="24"/>
        </w:rPr>
        <w:t>46</w:t>
      </w:r>
      <w:r w:rsidRPr="00197444">
        <w:rPr>
          <w:rFonts w:ascii="Arial" w:hAnsi="Arial" w:cs="Arial"/>
          <w:sz w:val="24"/>
          <w:szCs w:val="24"/>
        </w:rPr>
        <w:t xml:space="preserve"> responsabili nonché con il sequestro di contributi illecitamente erogati pari a circa </w:t>
      </w:r>
      <w:r w:rsidRPr="00EA5E11">
        <w:rPr>
          <w:rFonts w:ascii="Arial" w:hAnsi="Arial" w:cs="Arial"/>
          <w:b/>
          <w:sz w:val="24"/>
          <w:szCs w:val="24"/>
        </w:rPr>
        <w:t>4 milioni di euro</w:t>
      </w:r>
      <w:r w:rsidRPr="00197444">
        <w:rPr>
          <w:rFonts w:ascii="Arial" w:hAnsi="Arial" w:cs="Arial"/>
          <w:sz w:val="24"/>
          <w:szCs w:val="24"/>
        </w:rPr>
        <w:t xml:space="preserve">. </w:t>
      </w:r>
    </w:p>
    <w:p w:rsidR="00756B71" w:rsidRPr="00197444" w:rsidRDefault="00756B71" w:rsidP="007F216B">
      <w:pPr>
        <w:kinsoku w:val="0"/>
        <w:overflowPunct w:val="0"/>
        <w:autoSpaceDE/>
        <w:autoSpaceDN/>
        <w:adjustRightInd/>
        <w:spacing w:after="120"/>
        <w:ind w:left="72" w:right="144"/>
        <w:jc w:val="both"/>
        <w:textAlignment w:val="baseline"/>
        <w:rPr>
          <w:rFonts w:ascii="Arial" w:hAnsi="Arial" w:cs="Arial"/>
          <w:sz w:val="24"/>
          <w:szCs w:val="24"/>
        </w:rPr>
      </w:pPr>
    </w:p>
    <w:p w:rsidR="00756B71" w:rsidRPr="00197444" w:rsidRDefault="007F216B" w:rsidP="007F216B">
      <w:pPr>
        <w:kinsoku w:val="0"/>
        <w:overflowPunct w:val="0"/>
        <w:autoSpaceDE/>
        <w:autoSpaceDN/>
        <w:adjustRightInd/>
        <w:spacing w:after="120"/>
        <w:ind w:left="72" w:right="144"/>
        <w:jc w:val="both"/>
        <w:textAlignment w:val="baseline"/>
        <w:rPr>
          <w:rFonts w:ascii="Arial" w:hAnsi="Arial" w:cs="Arial"/>
          <w:sz w:val="24"/>
          <w:szCs w:val="24"/>
        </w:rPr>
      </w:pPr>
      <w:r>
        <w:rPr>
          <w:rFonts w:ascii="Arial" w:hAnsi="Arial" w:cs="Arial"/>
          <w:sz w:val="24"/>
          <w:szCs w:val="24"/>
        </w:rPr>
        <w:br w:type="column"/>
      </w:r>
    </w:p>
    <w:p w:rsidR="007F216B" w:rsidRDefault="00053848" w:rsidP="007F216B">
      <w:pPr>
        <w:pBdr>
          <w:top w:val="single" w:sz="5" w:space="0" w:color="000000"/>
          <w:left w:val="single" w:sz="5" w:space="0" w:color="000000"/>
          <w:bottom w:val="single" w:sz="5" w:space="0" w:color="000000"/>
          <w:right w:val="single" w:sz="5" w:space="0" w:color="000000"/>
        </w:pBdr>
        <w:shd w:val="solid" w:color="17365D" w:fill="auto"/>
        <w:kinsoku w:val="0"/>
        <w:overflowPunct w:val="0"/>
        <w:autoSpaceDE/>
        <w:autoSpaceDN/>
        <w:adjustRightInd/>
        <w:spacing w:after="120"/>
        <w:jc w:val="center"/>
        <w:textAlignment w:val="baseline"/>
        <w:rPr>
          <w:rFonts w:ascii="Arial" w:hAnsi="Arial" w:cs="Arial"/>
          <w:b/>
          <w:bCs/>
          <w:color w:val="F1F1F1"/>
          <w:sz w:val="28"/>
          <w:szCs w:val="28"/>
        </w:rPr>
      </w:pPr>
      <w:r w:rsidRPr="00197444">
        <w:rPr>
          <w:rFonts w:ascii="Arial" w:hAnsi="Arial" w:cs="Arial"/>
          <w:b/>
          <w:bCs/>
          <w:color w:val="F1F1F1"/>
          <w:sz w:val="28"/>
          <w:szCs w:val="28"/>
        </w:rPr>
        <w:t xml:space="preserve">LOTTA ALLA CRIMINALITÀ ORGANIZZATA </w:t>
      </w:r>
    </w:p>
    <w:p w:rsidR="00053848" w:rsidRPr="00197444" w:rsidRDefault="00053848" w:rsidP="007F216B">
      <w:pPr>
        <w:pBdr>
          <w:top w:val="single" w:sz="5" w:space="0" w:color="000000"/>
          <w:left w:val="single" w:sz="5" w:space="0" w:color="000000"/>
          <w:bottom w:val="single" w:sz="5" w:space="0" w:color="000000"/>
          <w:right w:val="single" w:sz="5" w:space="0" w:color="000000"/>
        </w:pBdr>
        <w:shd w:val="solid" w:color="17365D" w:fill="auto"/>
        <w:kinsoku w:val="0"/>
        <w:overflowPunct w:val="0"/>
        <w:autoSpaceDE/>
        <w:autoSpaceDN/>
        <w:adjustRightInd/>
        <w:spacing w:after="120"/>
        <w:jc w:val="center"/>
        <w:textAlignment w:val="baseline"/>
        <w:rPr>
          <w:rFonts w:ascii="Arial" w:hAnsi="Arial" w:cs="Arial"/>
          <w:b/>
          <w:bCs/>
          <w:color w:val="F1F1F1"/>
          <w:sz w:val="28"/>
          <w:szCs w:val="28"/>
        </w:rPr>
      </w:pPr>
      <w:r w:rsidRPr="00197444">
        <w:rPr>
          <w:rFonts w:ascii="Arial" w:hAnsi="Arial" w:cs="Arial"/>
          <w:b/>
          <w:bCs/>
          <w:color w:val="F1F1F1"/>
          <w:sz w:val="28"/>
          <w:szCs w:val="28"/>
        </w:rPr>
        <w:t>ED ECONOMICO</w:t>
      </w:r>
      <w:r w:rsidRPr="00197444">
        <w:rPr>
          <w:rFonts w:ascii="Arial" w:hAnsi="Arial" w:cs="Arial"/>
          <w:b/>
          <w:bCs/>
          <w:color w:val="F1F1F1"/>
          <w:sz w:val="28"/>
          <w:szCs w:val="28"/>
        </w:rPr>
        <w:noBreakHyphen/>
        <w:t>FINANZIARIA</w:t>
      </w:r>
    </w:p>
    <w:p w:rsidR="00D503CB" w:rsidRPr="00197444" w:rsidRDefault="00D503CB" w:rsidP="007F216B">
      <w:pPr>
        <w:kinsoku w:val="0"/>
        <w:overflowPunct w:val="0"/>
        <w:autoSpaceDE/>
        <w:autoSpaceDN/>
        <w:adjustRightInd/>
        <w:spacing w:after="120"/>
        <w:ind w:right="72"/>
        <w:jc w:val="center"/>
        <w:textAlignment w:val="baseline"/>
        <w:rPr>
          <w:rFonts w:ascii="Arial" w:hAnsi="Arial" w:cs="Arial"/>
          <w:b/>
          <w:bCs/>
          <w:sz w:val="24"/>
          <w:szCs w:val="24"/>
          <w:u w:val="single"/>
        </w:rPr>
      </w:pPr>
    </w:p>
    <w:p w:rsidR="00053848" w:rsidRPr="00197444" w:rsidRDefault="00053848" w:rsidP="007F216B">
      <w:pPr>
        <w:kinsoku w:val="0"/>
        <w:overflowPunct w:val="0"/>
        <w:autoSpaceDE/>
        <w:autoSpaceDN/>
        <w:adjustRightInd/>
        <w:spacing w:after="120"/>
        <w:ind w:right="72"/>
        <w:jc w:val="center"/>
        <w:textAlignment w:val="baseline"/>
        <w:rPr>
          <w:rFonts w:ascii="Arial" w:hAnsi="Arial" w:cs="Arial"/>
          <w:b/>
          <w:bCs/>
          <w:sz w:val="24"/>
          <w:szCs w:val="24"/>
          <w:u w:val="single"/>
        </w:rPr>
      </w:pPr>
      <w:r w:rsidRPr="00197444">
        <w:rPr>
          <w:rFonts w:ascii="Arial" w:hAnsi="Arial" w:cs="Arial"/>
          <w:b/>
          <w:bCs/>
          <w:sz w:val="24"/>
          <w:szCs w:val="24"/>
          <w:u w:val="single"/>
        </w:rPr>
        <w:t xml:space="preserve">PUNTO </w:t>
      </w:r>
      <w:r w:rsidR="00756B71" w:rsidRPr="00197444">
        <w:rPr>
          <w:rFonts w:ascii="Arial" w:hAnsi="Arial" w:cs="Arial"/>
          <w:b/>
          <w:bCs/>
          <w:sz w:val="24"/>
          <w:szCs w:val="24"/>
          <w:u w:val="single"/>
        </w:rPr>
        <w:t>4</w:t>
      </w:r>
    </w:p>
    <w:p w:rsidR="00756B71" w:rsidRPr="00197444" w:rsidRDefault="00756B71" w:rsidP="007F216B">
      <w:pPr>
        <w:kinsoku w:val="0"/>
        <w:overflowPunct w:val="0"/>
        <w:autoSpaceDE/>
        <w:autoSpaceDN/>
        <w:adjustRightInd/>
        <w:spacing w:after="120"/>
        <w:ind w:right="74"/>
        <w:jc w:val="both"/>
        <w:textAlignment w:val="baseline"/>
        <w:rPr>
          <w:rFonts w:ascii="Arial" w:hAnsi="Arial" w:cs="Arial"/>
          <w:sz w:val="24"/>
          <w:szCs w:val="24"/>
        </w:rPr>
      </w:pPr>
      <w:r w:rsidRPr="00197444">
        <w:rPr>
          <w:rFonts w:ascii="Arial" w:hAnsi="Arial" w:cs="Arial"/>
          <w:sz w:val="24"/>
          <w:szCs w:val="24"/>
        </w:rPr>
        <w:t xml:space="preserve">La </w:t>
      </w:r>
      <w:r w:rsidRPr="00197444">
        <w:rPr>
          <w:rFonts w:ascii="Arial" w:hAnsi="Arial" w:cs="Arial"/>
          <w:b/>
          <w:sz w:val="24"/>
          <w:szCs w:val="24"/>
        </w:rPr>
        <w:t>Compagnia di Pescara</w:t>
      </w:r>
      <w:r w:rsidRPr="00197444">
        <w:rPr>
          <w:rFonts w:ascii="Arial" w:hAnsi="Arial" w:cs="Arial"/>
          <w:sz w:val="24"/>
          <w:szCs w:val="24"/>
        </w:rPr>
        <w:t>, nell’ambito dell’ operazione “</w:t>
      </w:r>
      <w:r w:rsidRPr="00197444">
        <w:rPr>
          <w:rFonts w:ascii="Arial" w:hAnsi="Arial" w:cs="Arial"/>
          <w:i/>
          <w:sz w:val="24"/>
          <w:szCs w:val="24"/>
        </w:rPr>
        <w:t>Bazar</w:t>
      </w:r>
      <w:r w:rsidRPr="00197444">
        <w:rPr>
          <w:rFonts w:ascii="Arial" w:hAnsi="Arial" w:cs="Arial"/>
          <w:sz w:val="24"/>
          <w:szCs w:val="24"/>
        </w:rPr>
        <w:t>”, ha svolto una complessa indagine di polizia giudiziaria nel settore dei reati contro il patrimonio e la fede pubblica, del contrasto alla criminalità organizzata e del mantenimento dell’ordine e della sicurezza pubblica, che consentiva di individuare un articolato sodalizio criminale composto da cittadini italiani ed extra-comunitari, dedito alla contraffazione di noti marchi di impresa, operante in Abruzzo, Marche, Campania, Calabria, Lazio e Toscana.</w:t>
      </w:r>
    </w:p>
    <w:p w:rsidR="00756B71" w:rsidRPr="00197444" w:rsidRDefault="00756B71" w:rsidP="007F216B">
      <w:pPr>
        <w:kinsoku w:val="0"/>
        <w:overflowPunct w:val="0"/>
        <w:autoSpaceDE/>
        <w:autoSpaceDN/>
        <w:adjustRightInd/>
        <w:spacing w:after="120"/>
        <w:ind w:right="72"/>
        <w:jc w:val="both"/>
        <w:textAlignment w:val="baseline"/>
        <w:rPr>
          <w:rFonts w:ascii="Arial" w:hAnsi="Arial" w:cs="Arial"/>
          <w:sz w:val="24"/>
          <w:szCs w:val="24"/>
        </w:rPr>
      </w:pPr>
      <w:r w:rsidRPr="00197444">
        <w:rPr>
          <w:rFonts w:ascii="Arial" w:hAnsi="Arial" w:cs="Arial"/>
          <w:sz w:val="24"/>
          <w:szCs w:val="24"/>
        </w:rPr>
        <w:t xml:space="preserve">L’incisiva azione di servizio permetteva di individuare una complessa associazione per delinquere composta da n. </w:t>
      </w:r>
      <w:r w:rsidRPr="00EA5E11">
        <w:rPr>
          <w:rFonts w:ascii="Arial" w:hAnsi="Arial" w:cs="Arial"/>
          <w:b/>
          <w:sz w:val="24"/>
          <w:szCs w:val="24"/>
        </w:rPr>
        <w:t>19</w:t>
      </w:r>
      <w:r w:rsidRPr="00197444">
        <w:rPr>
          <w:rFonts w:ascii="Arial" w:hAnsi="Arial" w:cs="Arial"/>
          <w:sz w:val="24"/>
          <w:szCs w:val="24"/>
        </w:rPr>
        <w:t xml:space="preserve"> soggetti e di deferire, alle autorità giudiziarie competenti per territorio ulteriori </w:t>
      </w:r>
      <w:r w:rsidRPr="00EA5E11">
        <w:rPr>
          <w:rFonts w:ascii="Arial" w:hAnsi="Arial" w:cs="Arial"/>
          <w:b/>
          <w:sz w:val="24"/>
          <w:szCs w:val="24"/>
        </w:rPr>
        <w:t>22</w:t>
      </w:r>
      <w:r w:rsidRPr="00197444">
        <w:rPr>
          <w:rFonts w:ascii="Arial" w:hAnsi="Arial" w:cs="Arial"/>
          <w:sz w:val="24"/>
          <w:szCs w:val="24"/>
        </w:rPr>
        <w:t xml:space="preserve"> soggetti, responsabili a vario titolo per i reati associazione per delinquere finalizzata alla ricettazione, contraffazione e commercio di prodotti con segni falsi. </w:t>
      </w:r>
    </w:p>
    <w:p w:rsidR="00053848" w:rsidRPr="00197444" w:rsidRDefault="00756B71" w:rsidP="007F216B">
      <w:pPr>
        <w:kinsoku w:val="0"/>
        <w:overflowPunct w:val="0"/>
        <w:autoSpaceDE/>
        <w:autoSpaceDN/>
        <w:adjustRightInd/>
        <w:spacing w:after="120"/>
        <w:ind w:right="72"/>
        <w:jc w:val="both"/>
        <w:textAlignment w:val="baseline"/>
        <w:rPr>
          <w:rFonts w:ascii="Arial" w:hAnsi="Arial" w:cs="Arial"/>
          <w:sz w:val="24"/>
          <w:szCs w:val="24"/>
        </w:rPr>
      </w:pPr>
      <w:r w:rsidRPr="00197444">
        <w:rPr>
          <w:rFonts w:ascii="Arial" w:hAnsi="Arial" w:cs="Arial"/>
          <w:sz w:val="24"/>
          <w:szCs w:val="24"/>
        </w:rPr>
        <w:t xml:space="preserve">Nel complesso, le attività di indagine eseguite hanno permesso di sequestrare circa </w:t>
      </w:r>
      <w:r w:rsidRPr="00EA5E11">
        <w:rPr>
          <w:rFonts w:ascii="Arial" w:hAnsi="Arial" w:cs="Arial"/>
          <w:b/>
          <w:sz w:val="24"/>
          <w:szCs w:val="24"/>
        </w:rPr>
        <w:t>66.000</w:t>
      </w:r>
      <w:r w:rsidRPr="00197444">
        <w:rPr>
          <w:rFonts w:ascii="Arial" w:hAnsi="Arial" w:cs="Arial"/>
          <w:sz w:val="24"/>
          <w:szCs w:val="24"/>
        </w:rPr>
        <w:t xml:space="preserve"> tra accessori e capi di abbigliamento contraffatti, che, se immessi sul mercato, avrebbero fruttato all’organizzazione criminale un guadagno illecito di circa </w:t>
      </w:r>
      <w:r w:rsidRPr="00EA5E11">
        <w:rPr>
          <w:rFonts w:ascii="Arial" w:hAnsi="Arial" w:cs="Arial"/>
          <w:b/>
          <w:sz w:val="24"/>
          <w:szCs w:val="24"/>
        </w:rPr>
        <w:t>2 milioni di euro</w:t>
      </w:r>
      <w:r w:rsidRPr="00197444">
        <w:rPr>
          <w:rFonts w:ascii="Arial" w:hAnsi="Arial" w:cs="Arial"/>
          <w:sz w:val="24"/>
          <w:szCs w:val="24"/>
        </w:rPr>
        <w:t>.</w:t>
      </w:r>
    </w:p>
    <w:p w:rsidR="00C46845" w:rsidRPr="00197444" w:rsidRDefault="007F216B" w:rsidP="007F216B">
      <w:pPr>
        <w:kinsoku w:val="0"/>
        <w:overflowPunct w:val="0"/>
        <w:autoSpaceDE/>
        <w:autoSpaceDN/>
        <w:adjustRightInd/>
        <w:spacing w:after="120"/>
        <w:ind w:left="144" w:right="72"/>
        <w:jc w:val="both"/>
        <w:textAlignment w:val="baseline"/>
        <w:rPr>
          <w:rFonts w:ascii="Arial" w:hAnsi="Arial" w:cs="Arial"/>
          <w:sz w:val="24"/>
          <w:szCs w:val="24"/>
        </w:rPr>
      </w:pPr>
      <w:r>
        <w:rPr>
          <w:rFonts w:ascii="Arial" w:hAnsi="Arial" w:cs="Arial"/>
          <w:sz w:val="24"/>
          <w:szCs w:val="24"/>
        </w:rPr>
        <w:br w:type="column"/>
      </w:r>
    </w:p>
    <w:p w:rsidR="00C46845" w:rsidRPr="00197444" w:rsidRDefault="00942D04" w:rsidP="007F216B">
      <w:pPr>
        <w:pBdr>
          <w:top w:val="single" w:sz="5" w:space="0" w:color="000000"/>
          <w:left w:val="single" w:sz="5" w:space="0" w:color="000000"/>
          <w:bottom w:val="single" w:sz="5" w:space="0" w:color="000000"/>
          <w:right w:val="single" w:sz="5" w:space="0" w:color="000000"/>
        </w:pBdr>
        <w:shd w:val="solid" w:color="17365D" w:fill="auto"/>
        <w:kinsoku w:val="0"/>
        <w:overflowPunct w:val="0"/>
        <w:autoSpaceDE/>
        <w:autoSpaceDN/>
        <w:adjustRightInd/>
        <w:spacing w:after="120"/>
        <w:jc w:val="center"/>
        <w:textAlignment w:val="baseline"/>
        <w:rPr>
          <w:rFonts w:ascii="Arial" w:hAnsi="Arial" w:cs="Arial"/>
          <w:b/>
          <w:bCs/>
          <w:color w:val="F1F1F1"/>
          <w:sz w:val="28"/>
          <w:szCs w:val="28"/>
        </w:rPr>
      </w:pPr>
      <w:r w:rsidRPr="00197444">
        <w:rPr>
          <w:rFonts w:ascii="Arial" w:hAnsi="Arial" w:cs="Arial"/>
          <w:b/>
          <w:bCs/>
          <w:color w:val="F1F1F1"/>
          <w:sz w:val="28"/>
          <w:szCs w:val="28"/>
        </w:rPr>
        <w:t>CONCORSO ALLA SICUREZZA E ALL’ORDINE PUBBLICO</w:t>
      </w:r>
    </w:p>
    <w:p w:rsidR="00D503CB" w:rsidRPr="00197444" w:rsidRDefault="00D503CB" w:rsidP="007F216B">
      <w:pPr>
        <w:kinsoku w:val="0"/>
        <w:overflowPunct w:val="0"/>
        <w:autoSpaceDE/>
        <w:autoSpaceDN/>
        <w:adjustRightInd/>
        <w:spacing w:after="120"/>
        <w:ind w:right="72"/>
        <w:jc w:val="center"/>
        <w:textAlignment w:val="baseline"/>
        <w:rPr>
          <w:rFonts w:ascii="Arial" w:hAnsi="Arial" w:cs="Arial"/>
          <w:b/>
          <w:bCs/>
          <w:sz w:val="24"/>
          <w:szCs w:val="24"/>
          <w:u w:val="single"/>
        </w:rPr>
      </w:pPr>
    </w:p>
    <w:p w:rsidR="00C46845" w:rsidRPr="00197444" w:rsidRDefault="00C46845" w:rsidP="007F216B">
      <w:pPr>
        <w:kinsoku w:val="0"/>
        <w:overflowPunct w:val="0"/>
        <w:autoSpaceDE/>
        <w:autoSpaceDN/>
        <w:adjustRightInd/>
        <w:spacing w:after="120"/>
        <w:ind w:right="72"/>
        <w:jc w:val="center"/>
        <w:textAlignment w:val="baseline"/>
        <w:rPr>
          <w:rFonts w:ascii="Arial" w:hAnsi="Arial" w:cs="Arial"/>
          <w:b/>
          <w:bCs/>
          <w:sz w:val="24"/>
          <w:szCs w:val="24"/>
          <w:u w:val="single"/>
        </w:rPr>
      </w:pPr>
      <w:r w:rsidRPr="00197444">
        <w:rPr>
          <w:rFonts w:ascii="Arial" w:hAnsi="Arial" w:cs="Arial"/>
          <w:b/>
          <w:bCs/>
          <w:sz w:val="24"/>
          <w:szCs w:val="24"/>
          <w:u w:val="single"/>
        </w:rPr>
        <w:t>PUNTO 5</w:t>
      </w:r>
    </w:p>
    <w:p w:rsidR="00C46845" w:rsidRPr="00197444" w:rsidRDefault="00A36700" w:rsidP="007F216B">
      <w:pPr>
        <w:kinsoku w:val="0"/>
        <w:overflowPunct w:val="0"/>
        <w:autoSpaceDE/>
        <w:autoSpaceDN/>
        <w:adjustRightInd/>
        <w:spacing w:after="120"/>
        <w:ind w:right="72"/>
        <w:jc w:val="both"/>
        <w:textAlignment w:val="baseline"/>
        <w:rPr>
          <w:rFonts w:ascii="Arial" w:hAnsi="Arial" w:cs="Arial"/>
          <w:sz w:val="24"/>
          <w:szCs w:val="24"/>
        </w:rPr>
      </w:pPr>
      <w:r w:rsidRPr="00197444">
        <w:rPr>
          <w:rFonts w:ascii="Arial" w:hAnsi="Arial" w:cs="Arial"/>
          <w:sz w:val="24"/>
          <w:szCs w:val="24"/>
        </w:rPr>
        <w:t>I</w:t>
      </w:r>
      <w:r w:rsidR="00C46845" w:rsidRPr="00197444">
        <w:rPr>
          <w:rFonts w:ascii="Arial" w:hAnsi="Arial" w:cs="Arial"/>
          <w:sz w:val="24"/>
          <w:szCs w:val="24"/>
        </w:rPr>
        <w:t xml:space="preserve"> </w:t>
      </w:r>
      <w:r w:rsidRPr="00197444">
        <w:rPr>
          <w:rFonts w:ascii="Arial" w:hAnsi="Arial" w:cs="Arial"/>
          <w:b/>
          <w:sz w:val="24"/>
          <w:szCs w:val="24"/>
        </w:rPr>
        <w:t>Reparti abruzzesi della</w:t>
      </w:r>
      <w:r w:rsidRPr="00197444">
        <w:rPr>
          <w:rFonts w:ascii="Arial" w:hAnsi="Arial" w:cs="Arial"/>
          <w:sz w:val="24"/>
          <w:szCs w:val="24"/>
        </w:rPr>
        <w:t xml:space="preserve"> </w:t>
      </w:r>
      <w:r w:rsidR="00C46845" w:rsidRPr="00197444">
        <w:rPr>
          <w:rFonts w:ascii="Arial" w:hAnsi="Arial" w:cs="Arial"/>
          <w:b/>
          <w:sz w:val="24"/>
          <w:szCs w:val="24"/>
        </w:rPr>
        <w:t xml:space="preserve">Guardia di Finanza </w:t>
      </w:r>
      <w:r w:rsidR="00C46845" w:rsidRPr="00197444">
        <w:rPr>
          <w:rFonts w:ascii="Arial" w:hAnsi="Arial" w:cs="Arial"/>
          <w:sz w:val="24"/>
          <w:szCs w:val="24"/>
        </w:rPr>
        <w:t xml:space="preserve">insistenti nel nuovo “cratere sismico”, si </w:t>
      </w:r>
      <w:r w:rsidRPr="00197444">
        <w:rPr>
          <w:rFonts w:ascii="Arial" w:hAnsi="Arial" w:cs="Arial"/>
          <w:sz w:val="24"/>
          <w:szCs w:val="24"/>
        </w:rPr>
        <w:t>sono</w:t>
      </w:r>
      <w:r w:rsidR="00C46845" w:rsidRPr="00197444">
        <w:rPr>
          <w:rFonts w:ascii="Arial" w:hAnsi="Arial" w:cs="Arial"/>
          <w:sz w:val="24"/>
          <w:szCs w:val="24"/>
        </w:rPr>
        <w:t xml:space="preserve"> particolarmente distint</w:t>
      </w:r>
      <w:r w:rsidRPr="00197444">
        <w:rPr>
          <w:rFonts w:ascii="Arial" w:hAnsi="Arial" w:cs="Arial"/>
          <w:sz w:val="24"/>
          <w:szCs w:val="24"/>
        </w:rPr>
        <w:t>i</w:t>
      </w:r>
      <w:r w:rsidR="00C46845" w:rsidRPr="00197444">
        <w:rPr>
          <w:rFonts w:ascii="Arial" w:hAnsi="Arial" w:cs="Arial"/>
          <w:sz w:val="24"/>
          <w:szCs w:val="24"/>
        </w:rPr>
        <w:t xml:space="preserve"> nelle operazioni di soccorso alle popolazioni colpite, contemporaneamente, da forti eventi sismici, da eccezionali nevicate e da un esteso black-out elettrico, all’inizio dello scorso anno.</w:t>
      </w:r>
    </w:p>
    <w:p w:rsidR="00C46845" w:rsidRPr="00197444" w:rsidRDefault="00C46845" w:rsidP="007F216B">
      <w:pPr>
        <w:kinsoku w:val="0"/>
        <w:overflowPunct w:val="0"/>
        <w:autoSpaceDE/>
        <w:autoSpaceDN/>
        <w:adjustRightInd/>
        <w:spacing w:after="120"/>
        <w:ind w:right="72"/>
        <w:jc w:val="both"/>
        <w:textAlignment w:val="baseline"/>
        <w:rPr>
          <w:rFonts w:ascii="Arial" w:hAnsi="Arial" w:cs="Arial"/>
          <w:sz w:val="24"/>
          <w:szCs w:val="24"/>
        </w:rPr>
      </w:pPr>
      <w:r w:rsidRPr="00197444">
        <w:rPr>
          <w:rFonts w:ascii="Arial" w:hAnsi="Arial" w:cs="Arial"/>
          <w:sz w:val="24"/>
          <w:szCs w:val="24"/>
        </w:rPr>
        <w:t xml:space="preserve">Superata la fase dell’emergenza, i militati interessati contribuivano, altresì, nella esecuzione di tutte le attività di concorso ai servizi di ordine e sicurezza pubblica. </w:t>
      </w:r>
    </w:p>
    <w:p w:rsidR="00C46845" w:rsidRDefault="00C46845" w:rsidP="007F216B">
      <w:pPr>
        <w:kinsoku w:val="0"/>
        <w:overflowPunct w:val="0"/>
        <w:autoSpaceDE/>
        <w:autoSpaceDN/>
        <w:adjustRightInd/>
        <w:spacing w:after="120"/>
        <w:ind w:right="72"/>
        <w:jc w:val="both"/>
        <w:textAlignment w:val="baseline"/>
        <w:rPr>
          <w:rFonts w:ascii="Arial" w:hAnsi="Arial" w:cs="Arial"/>
          <w:sz w:val="24"/>
          <w:szCs w:val="24"/>
        </w:rPr>
      </w:pPr>
      <w:r w:rsidRPr="00197444">
        <w:rPr>
          <w:rFonts w:ascii="Arial" w:hAnsi="Arial" w:cs="Arial"/>
          <w:sz w:val="24"/>
          <w:szCs w:val="24"/>
        </w:rPr>
        <w:t>L’attività svolta riceveva il riconoscente ringraziamento delle popolazioni colpite, riscuotendo il plauso delle Autorità nazionali e comunitarie e dei rappresentanti dei vari Enti nazionali e locali del sistema di protezione civile parimenti coinvolti nelle operazioni.</w:t>
      </w:r>
    </w:p>
    <w:p w:rsidR="00197444" w:rsidRDefault="00197444" w:rsidP="007F216B">
      <w:pPr>
        <w:kinsoku w:val="0"/>
        <w:overflowPunct w:val="0"/>
        <w:autoSpaceDE/>
        <w:autoSpaceDN/>
        <w:adjustRightInd/>
        <w:ind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p>
    <w:p w:rsidR="00197444" w:rsidRDefault="00197444" w:rsidP="00C46845">
      <w:pPr>
        <w:kinsoku w:val="0"/>
        <w:overflowPunct w:val="0"/>
        <w:autoSpaceDE/>
        <w:autoSpaceDN/>
        <w:adjustRightInd/>
        <w:ind w:left="144" w:right="72"/>
        <w:jc w:val="both"/>
        <w:textAlignment w:val="baseline"/>
        <w:rPr>
          <w:rFonts w:ascii="Arial" w:hAnsi="Arial" w:cs="Arial"/>
          <w:sz w:val="24"/>
          <w:szCs w:val="24"/>
        </w:rPr>
      </w:pPr>
      <w:bookmarkStart w:id="0" w:name="_GoBack"/>
      <w:bookmarkEnd w:id="0"/>
    </w:p>
    <w:sectPr w:rsidR="00197444" w:rsidSect="00756B71">
      <w:footerReference w:type="default" r:id="rId7"/>
      <w:pgSz w:w="11909" w:h="16838"/>
      <w:pgMar w:top="1420" w:right="1017" w:bottom="3282" w:left="101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3E" w:rsidRDefault="0041163E" w:rsidP="001D232F">
      <w:r>
        <w:separator/>
      </w:r>
    </w:p>
  </w:endnote>
  <w:endnote w:type="continuationSeparator" w:id="0">
    <w:p w:rsidR="0041163E" w:rsidRDefault="0041163E" w:rsidP="001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16566"/>
      <w:docPartObj>
        <w:docPartGallery w:val="Page Numbers (Bottom of Page)"/>
        <w:docPartUnique/>
      </w:docPartObj>
    </w:sdtPr>
    <w:sdtEndPr>
      <w:rPr>
        <w:rFonts w:ascii="Arial" w:hAnsi="Arial" w:cs="Arial"/>
        <w:sz w:val="24"/>
        <w:szCs w:val="24"/>
      </w:rPr>
    </w:sdtEndPr>
    <w:sdtContent>
      <w:p w:rsidR="001D232F" w:rsidRPr="001D232F" w:rsidRDefault="001D232F">
        <w:pPr>
          <w:pStyle w:val="Pidipagina"/>
          <w:jc w:val="center"/>
          <w:rPr>
            <w:rFonts w:ascii="Arial" w:hAnsi="Arial" w:cs="Arial"/>
            <w:sz w:val="24"/>
            <w:szCs w:val="24"/>
          </w:rPr>
        </w:pPr>
        <w:r w:rsidRPr="001D232F">
          <w:rPr>
            <w:rFonts w:ascii="Arial" w:hAnsi="Arial" w:cs="Arial"/>
            <w:sz w:val="24"/>
            <w:szCs w:val="24"/>
          </w:rPr>
          <w:fldChar w:fldCharType="begin"/>
        </w:r>
        <w:r w:rsidRPr="001D232F">
          <w:rPr>
            <w:rFonts w:ascii="Arial" w:hAnsi="Arial" w:cs="Arial"/>
            <w:sz w:val="24"/>
            <w:szCs w:val="24"/>
          </w:rPr>
          <w:instrText>PAGE   \* MERGEFORMAT</w:instrText>
        </w:r>
        <w:r w:rsidRPr="001D232F">
          <w:rPr>
            <w:rFonts w:ascii="Arial" w:hAnsi="Arial" w:cs="Arial"/>
            <w:sz w:val="24"/>
            <w:szCs w:val="24"/>
          </w:rPr>
          <w:fldChar w:fldCharType="separate"/>
        </w:r>
        <w:r w:rsidR="00D443F8">
          <w:rPr>
            <w:rFonts w:ascii="Arial" w:hAnsi="Arial" w:cs="Arial"/>
            <w:noProof/>
            <w:sz w:val="24"/>
            <w:szCs w:val="24"/>
          </w:rPr>
          <w:t>4</w:t>
        </w:r>
        <w:r w:rsidRPr="001D232F">
          <w:rPr>
            <w:rFonts w:ascii="Arial" w:hAnsi="Arial" w:cs="Arial"/>
            <w:sz w:val="24"/>
            <w:szCs w:val="24"/>
          </w:rPr>
          <w:fldChar w:fldCharType="end"/>
        </w:r>
      </w:p>
    </w:sdtContent>
  </w:sdt>
  <w:p w:rsidR="001D232F" w:rsidRDefault="001D23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3E" w:rsidRDefault="0041163E" w:rsidP="001D232F">
      <w:r>
        <w:separator/>
      </w:r>
    </w:p>
  </w:footnote>
  <w:footnote w:type="continuationSeparator" w:id="0">
    <w:p w:rsidR="0041163E" w:rsidRDefault="0041163E" w:rsidP="001D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A440"/>
    <w:multiLevelType w:val="singleLevel"/>
    <w:tmpl w:val="06E7BBEF"/>
    <w:lvl w:ilvl="0">
      <w:start w:val="1"/>
      <w:numFmt w:val="lowerLetter"/>
      <w:lvlText w:val="%1."/>
      <w:lvlJc w:val="left"/>
      <w:pPr>
        <w:tabs>
          <w:tab w:val="num" w:pos="432"/>
        </w:tabs>
        <w:ind w:left="432" w:hanging="360"/>
      </w:pPr>
      <w:rPr>
        <w:rFonts w:ascii="Arial" w:hAnsi="Arial" w:cs="Arial"/>
        <w:snapToGrid/>
        <w:sz w:val="24"/>
        <w:szCs w:val="24"/>
      </w:rPr>
    </w:lvl>
  </w:abstractNum>
  <w:abstractNum w:abstractNumId="1" w15:restartNumberingAfterBreak="0">
    <w:nsid w:val="040D2146"/>
    <w:multiLevelType w:val="singleLevel"/>
    <w:tmpl w:val="4B591629"/>
    <w:lvl w:ilvl="0">
      <w:start w:val="1"/>
      <w:numFmt w:val="lowerLetter"/>
      <w:lvlText w:val="%1."/>
      <w:lvlJc w:val="left"/>
      <w:pPr>
        <w:tabs>
          <w:tab w:val="num" w:pos="864"/>
        </w:tabs>
        <w:ind w:left="864" w:hanging="432"/>
      </w:pPr>
      <w:rPr>
        <w:rFonts w:ascii="Arial" w:hAnsi="Arial" w:cs="Arial"/>
        <w:snapToGrid/>
        <w:sz w:val="24"/>
        <w:szCs w:val="24"/>
      </w:rPr>
    </w:lvl>
  </w:abstractNum>
  <w:abstractNum w:abstractNumId="2" w15:restartNumberingAfterBreak="0">
    <w:nsid w:val="044702AD"/>
    <w:multiLevelType w:val="singleLevel"/>
    <w:tmpl w:val="60DA3590"/>
    <w:lvl w:ilvl="0">
      <w:start w:val="1"/>
      <w:numFmt w:val="decimal"/>
      <w:lvlText w:val="%1)"/>
      <w:lvlJc w:val="left"/>
      <w:pPr>
        <w:tabs>
          <w:tab w:val="num" w:pos="1008"/>
        </w:tabs>
        <w:ind w:left="1008" w:hanging="288"/>
      </w:pPr>
      <w:rPr>
        <w:rFonts w:ascii="Arial" w:hAnsi="Arial" w:cs="Arial"/>
        <w:snapToGrid/>
        <w:sz w:val="24"/>
        <w:szCs w:val="24"/>
      </w:rPr>
    </w:lvl>
  </w:abstractNum>
  <w:abstractNum w:abstractNumId="3" w15:restartNumberingAfterBreak="0">
    <w:nsid w:val="050C3E28"/>
    <w:multiLevelType w:val="singleLevel"/>
    <w:tmpl w:val="08F520D2"/>
    <w:lvl w:ilvl="0">
      <w:start w:val="1"/>
      <w:numFmt w:val="lowerLetter"/>
      <w:lvlText w:val="%1."/>
      <w:lvlJc w:val="left"/>
      <w:pPr>
        <w:tabs>
          <w:tab w:val="num" w:pos="432"/>
        </w:tabs>
        <w:ind w:left="432" w:hanging="288"/>
      </w:pPr>
      <w:rPr>
        <w:rFonts w:ascii="Arial" w:hAnsi="Arial" w:cs="Arial"/>
        <w:snapToGrid/>
        <w:sz w:val="24"/>
        <w:szCs w:val="24"/>
      </w:rPr>
    </w:lvl>
  </w:abstractNum>
  <w:abstractNum w:abstractNumId="4" w15:restartNumberingAfterBreak="0">
    <w:nsid w:val="073BF7F8"/>
    <w:multiLevelType w:val="singleLevel"/>
    <w:tmpl w:val="6B2EA3ED"/>
    <w:lvl w:ilvl="0">
      <w:start w:val="1"/>
      <w:numFmt w:val="lowerLetter"/>
      <w:lvlText w:val="%1."/>
      <w:lvlJc w:val="left"/>
      <w:pPr>
        <w:tabs>
          <w:tab w:val="num" w:pos="288"/>
        </w:tabs>
        <w:ind w:left="288" w:hanging="288"/>
      </w:pPr>
      <w:rPr>
        <w:rFonts w:ascii="Arial" w:hAnsi="Arial" w:cs="Arial"/>
        <w:snapToGrid/>
        <w:spacing w:val="-1"/>
        <w:sz w:val="24"/>
        <w:szCs w:val="24"/>
      </w:rPr>
    </w:lvl>
  </w:abstractNum>
  <w:abstractNum w:abstractNumId="5" w15:restartNumberingAfterBreak="0">
    <w:nsid w:val="0754EF90"/>
    <w:multiLevelType w:val="singleLevel"/>
    <w:tmpl w:val="78B38FB4"/>
    <w:lvl w:ilvl="0">
      <w:start w:val="1"/>
      <w:numFmt w:val="lowerLetter"/>
      <w:lvlText w:val="%1."/>
      <w:lvlJc w:val="left"/>
      <w:pPr>
        <w:tabs>
          <w:tab w:val="num" w:pos="288"/>
        </w:tabs>
        <w:ind w:left="288" w:hanging="288"/>
      </w:pPr>
      <w:rPr>
        <w:rFonts w:ascii="Arial" w:hAnsi="Arial" w:cs="Arial"/>
        <w:snapToGrid/>
        <w:sz w:val="24"/>
        <w:szCs w:val="24"/>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A5"/>
    <w:rsid w:val="00053848"/>
    <w:rsid w:val="00197444"/>
    <w:rsid w:val="001D232F"/>
    <w:rsid w:val="002C7B65"/>
    <w:rsid w:val="003528C6"/>
    <w:rsid w:val="0041163E"/>
    <w:rsid w:val="0047593C"/>
    <w:rsid w:val="005F253D"/>
    <w:rsid w:val="007158F1"/>
    <w:rsid w:val="00756B71"/>
    <w:rsid w:val="007F216B"/>
    <w:rsid w:val="00942D04"/>
    <w:rsid w:val="00A36700"/>
    <w:rsid w:val="00AF1FE5"/>
    <w:rsid w:val="00C46845"/>
    <w:rsid w:val="00D443F8"/>
    <w:rsid w:val="00D503CB"/>
    <w:rsid w:val="00E803A5"/>
    <w:rsid w:val="00EA5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88AF6-4193-4416-805C-23711D8E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053848"/>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32F"/>
    <w:pPr>
      <w:tabs>
        <w:tab w:val="center" w:pos="4819"/>
        <w:tab w:val="right" w:pos="9638"/>
      </w:tabs>
    </w:pPr>
  </w:style>
  <w:style w:type="character" w:customStyle="1" w:styleId="IntestazioneCarattere">
    <w:name w:val="Intestazione Carattere"/>
    <w:basedOn w:val="Carpredefinitoparagrafo"/>
    <w:link w:val="Intestazione"/>
    <w:uiPriority w:val="99"/>
    <w:rsid w:val="001D232F"/>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1D232F"/>
    <w:pPr>
      <w:tabs>
        <w:tab w:val="center" w:pos="4819"/>
        <w:tab w:val="right" w:pos="9638"/>
      </w:tabs>
    </w:pPr>
  </w:style>
  <w:style w:type="character" w:customStyle="1" w:styleId="PidipaginaCarattere">
    <w:name w:val="Piè di pagina Carattere"/>
    <w:basedOn w:val="Carpredefinitoparagrafo"/>
    <w:link w:val="Pidipagina"/>
    <w:uiPriority w:val="99"/>
    <w:rsid w:val="001D232F"/>
    <w:rPr>
      <w:rFonts w:ascii="Times New Roman" w:eastAsiaTheme="minorEastAsia" w:hAnsi="Times New Roman" w:cs="Times New Roman"/>
      <w:sz w:val="20"/>
      <w:szCs w:val="20"/>
      <w:lang w:eastAsia="it-IT"/>
    </w:rPr>
  </w:style>
  <w:style w:type="table" w:styleId="Grigliatabella">
    <w:name w:val="Table Grid"/>
    <w:basedOn w:val="Tabellanormale"/>
    <w:uiPriority w:val="59"/>
    <w:rsid w:val="0019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74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444"/>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C7"/>
    <w:rsid w:val="001F1A65"/>
    <w:rsid w:val="00704AC7"/>
    <w:rsid w:val="00F42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04AC7"/>
    <w:rPr>
      <w:color w:val="808080"/>
    </w:rPr>
  </w:style>
  <w:style w:type="paragraph" w:customStyle="1" w:styleId="655ED662726B45CDA312D18968A37E04">
    <w:name w:val="655ED662726B45CDA312D18968A37E04"/>
    <w:rsid w:val="00704AC7"/>
  </w:style>
  <w:style w:type="paragraph" w:customStyle="1" w:styleId="B96EA1D1702C4B4C95AEAFA51B05E5FA">
    <w:name w:val="B96EA1D1702C4B4C95AEAFA51B05E5FA"/>
    <w:rsid w:val="00704AC7"/>
  </w:style>
  <w:style w:type="paragraph" w:customStyle="1" w:styleId="86819B2901DC416C99707545DDEBCBBF">
    <w:name w:val="86819B2901DC416C99707545DDEBCBBF"/>
    <w:rsid w:val="00704AC7"/>
  </w:style>
  <w:style w:type="paragraph" w:customStyle="1" w:styleId="FA32717077DC4AEDA6111AA403BBDA75">
    <w:name w:val="FA32717077DC4AEDA6111AA403BBDA75"/>
    <w:rsid w:val="00704AC7"/>
  </w:style>
  <w:style w:type="paragraph" w:customStyle="1" w:styleId="9DAC3D9664A64C17B7290D17F9005F70">
    <w:name w:val="9DAC3D9664A64C17B7290D17F9005F70"/>
    <w:rsid w:val="0070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669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Stornelli Nino Alberto - MAR.A</dc:creator>
  <cp:keywords/>
  <dc:description/>
  <cp:lastModifiedBy>Retico Michele - MAR.A</cp:lastModifiedBy>
  <cp:revision>13</cp:revision>
  <cp:lastPrinted>2018-06-21T11:14:00Z</cp:lastPrinted>
  <dcterms:created xsi:type="dcterms:W3CDTF">2018-06-21T09:42:00Z</dcterms:created>
  <dcterms:modified xsi:type="dcterms:W3CDTF">2018-06-25T13:19:00Z</dcterms:modified>
</cp:coreProperties>
</file>